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8673" w14:textId="77777777" w:rsidR="003D337B" w:rsidRPr="003D337B" w:rsidRDefault="003D337B" w:rsidP="003D337B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(KA1)</w:t>
      </w:r>
    </w:p>
    <w:p w14:paraId="212C04AD" w14:textId="3E751702" w:rsidR="00A20224" w:rsidRDefault="00A20224" w:rsidP="00A20224">
      <w:pPr>
        <w:keepNext/>
        <w:keepLines/>
        <w:spacing w:after="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KA</w:t>
      </w:r>
      <w:r w:rsidR="003D337B"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 121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 </w:t>
      </w:r>
      <w:r w:rsidR="003D337B"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122</w:t>
      </w:r>
    </w:p>
    <w:p w14:paraId="20DFA13A" w14:textId="2A2D2688" w:rsidR="003D337B" w:rsidRPr="00A20224" w:rsidRDefault="00A20224" w:rsidP="00A20224">
      <w:pPr>
        <w:keepNext/>
        <w:keepLines/>
        <w:spacing w:after="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lang w:eastAsia="en-GB"/>
          <w14:ligatures w14:val="none"/>
        </w:rPr>
      </w:pPr>
      <w:r w:rsidRPr="00A2022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lang w:eastAsia="en-GB"/>
          <w14:ligatures w14:val="none"/>
        </w:rPr>
        <w:t>(VET)</w:t>
      </w:r>
    </w:p>
    <w:p w14:paraId="3E38F16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smallCaps/>
          <w:kern w:val="0"/>
          <w:szCs w:val="24"/>
          <w:u w:val="single"/>
          <w14:ligatures w14:val="none"/>
        </w:rPr>
      </w:pPr>
    </w:p>
    <w:p w14:paraId="2992EE1E" w14:textId="77777777" w:rsidR="003D337B" w:rsidRPr="003D337B" w:rsidRDefault="003D337B" w:rsidP="003D337B">
      <w:pPr>
        <w:spacing w:after="0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smallCaps/>
          <w:kern w:val="0"/>
          <w14:ligatures w14:val="none"/>
        </w:rPr>
        <w:t>AKCJA KLUCZOWA 1 – MOBILNOŚĆ</w:t>
      </w: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OSÓB UCZĄCYCH SIĘ I KADRY W RAMACH KSZTAŁCENIA I SZKOLENIA ZAWODOWEGO</w:t>
      </w:r>
    </w:p>
    <w:p w14:paraId="04C5B09F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F156E53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1. Podróż </w:t>
      </w:r>
    </w:p>
    <w:p w14:paraId="64362038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3D337B" w:rsidRPr="003D337B" w14:paraId="18B90A9D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7EFBC8" w14:textId="77777777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8DEFAA" w14:textId="08A5781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Podróż </w:t>
            </w:r>
            <w:r w:rsid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z wykorzystaniem ekologicznych środków transportu </w:t>
            </w: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– Kwota</w:t>
            </w:r>
            <w:r w:rsid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301596" w14:textId="4EFD1AF7" w:rsidR="003D337B" w:rsidRPr="003D337B" w:rsidRDefault="004D0CCE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Podróż </w:t>
            </w:r>
            <w:r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bez</w:t>
            </w: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wykorzystani</w:t>
            </w:r>
            <w:r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a</w:t>
            </w: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ekologicznych środków transportu  – Kwota na uczestnika</w:t>
            </w:r>
            <w:r w:rsidRPr="004D0CCE" w:rsidDel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</w:tr>
      <w:tr w:rsidR="003D337B" w:rsidRPr="003D337B" w14:paraId="6198B8E3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EAD3" w14:textId="2D3B0035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10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668F" w14:textId="1921B442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56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67D9" w14:textId="4FB1D6CE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28 EUR</w:t>
            </w:r>
          </w:p>
        </w:tc>
      </w:tr>
      <w:tr w:rsidR="003D337B" w:rsidRPr="003D337B" w14:paraId="25F8B57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BA20" w14:textId="3628A20A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 100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396A" w14:textId="7046A614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285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E8B" w14:textId="7A4780E8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21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</w:tr>
      <w:tr w:rsidR="003D337B" w:rsidRPr="003D337B" w14:paraId="173EA365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E33" w14:textId="5C3E115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500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6E72" w14:textId="49859E8A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417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60A" w14:textId="303BAF2D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309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6998509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149" w14:textId="57BDDA0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2 000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52E" w14:textId="3E047DE6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535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29F" w14:textId="434D26F4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395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661AADB4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A11A" w14:textId="78C5D47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3 000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19AB" w14:textId="1FECEB17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785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9F1" w14:textId="28BD6681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580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494F7404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B359" w14:textId="25A74E7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 4 000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8D2" w14:textId="525C566A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7C324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188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A1D0" w14:textId="67766630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7C3248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188 EUR</w:t>
            </w:r>
          </w:p>
        </w:tc>
      </w:tr>
      <w:tr w:rsidR="003D337B" w:rsidRPr="003D337B" w14:paraId="2773AEF1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3ED" w14:textId="77777777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FBD" w14:textId="39DD0995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7C324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735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18AE" w14:textId="741E6D57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7C3248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735 EUR</w:t>
            </w:r>
          </w:p>
        </w:tc>
      </w:tr>
    </w:tbl>
    <w:p w14:paraId="1C0B2453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D71F79E" w14:textId="77777777" w:rsidR="003D337B" w:rsidRPr="003D337B" w:rsidRDefault="003D337B" w:rsidP="003D337B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8355605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</w:t>
      </w:r>
      <w:r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2131CDB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951BE50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EC0DEA" w:rsidRPr="00EC0DEA" w14:paraId="3B172FF7" w14:textId="77777777" w:rsidTr="00EC0DEA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0FFEC800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0" w:name="_Hlk170722740"/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Kraj przyjmujący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F66CC5" w14:textId="6F0D6C0D" w:rsid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Osoby uczące się</w:t>
            </w:r>
            <w:r w:rsid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 - s</w:t>
            </w: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</w:p>
          <w:p w14:paraId="32A221C0" w14:textId="1A4185E4" w:rsidR="0042161B" w:rsidRPr="00EC0DEA" w:rsidRDefault="0042161B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(1-14 dzień)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5CE057" w14:textId="1737FDA0" w:rsidR="00EC0DEA" w:rsidRPr="00EC0DEA" w:rsidRDefault="0042161B" w:rsidP="0042161B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Osoby uczące się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 - s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br/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(od 15. dnia)</w:t>
            </w:r>
          </w:p>
        </w:tc>
      </w:tr>
      <w:tr w:rsidR="00EC0DEA" w:rsidRPr="00EC0DEA" w14:paraId="690D29DE" w14:textId="77777777" w:rsidTr="00EC0DEA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397DFB7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1:</w:t>
            </w:r>
          </w:p>
          <w:p w14:paraId="746E1FCE" w14:textId="78B63686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Austria, Belgia, Dania, Finlandia, Francja, 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Irlandia</w:t>
            </w:r>
            <w:r w:rsidR="007C32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Islandia,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Liechtenstein, Luksemburg, Niderlandy, 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Niemcy,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Norwegia, Szwecja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Włochy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281C" w14:textId="2D03084F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114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80D4" w14:textId="5AB7BEF8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80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EC0DEA" w:rsidRPr="00EC0DEA" w14:paraId="67BCC4FF" w14:textId="77777777" w:rsidTr="00EC0DEA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90C1638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2:</w:t>
            </w:r>
          </w:p>
          <w:p w14:paraId="1FBD43C1" w14:textId="397AC649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Cypr, Czechy, Estonia, Grecja, 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Hiszpania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Łotwa, Malta, Portugalia, Słowacja, Słowenia,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FBAF" w14:textId="0BA7150F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99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47BC" w14:textId="780EBE4A" w:rsidR="00EC0DEA" w:rsidRPr="00EC0DEA" w:rsidRDefault="0042161B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69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EC0DEA" w:rsidRPr="00EC0DEA" w14:paraId="48D2EF90" w14:textId="77777777" w:rsidTr="00EC0DEA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FDE5256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3:</w:t>
            </w:r>
          </w:p>
          <w:p w14:paraId="1F099612" w14:textId="576ED30D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Bułgaria, Chorwacja, Litwa, 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Macedonia Północna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 Polska, Rumunia, Serbia, Turcja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Węgry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E86F" w14:textId="46021585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84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D77F" w14:textId="41182486" w:rsidR="00EC0DEA" w:rsidRPr="00EC0DEA" w:rsidRDefault="0042161B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59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bookmarkEnd w:id="0"/>
    </w:tbl>
    <w:p w14:paraId="5F3D4BA4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26E0A56F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42161B" w:rsidRPr="00EC0DEA" w14:paraId="55B9A733" w14:textId="77777777" w:rsidTr="00B92884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6F19D85B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lastRenderedPageBreak/>
              <w:t>Kraj przyjmujący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B2F5F55" w14:textId="2D74FF28" w:rsidR="0042161B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Pracownicy - 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s</w:t>
            </w: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</w:p>
          <w:p w14:paraId="43692F86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(1-14 dzień)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A8F486" w14:textId="5F331C91" w:rsidR="0042161B" w:rsidRPr="00EC0DEA" w:rsidRDefault="0042161B" w:rsidP="0042161B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Pracownicy - s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br/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(od 15. dnia)</w:t>
            </w:r>
          </w:p>
        </w:tc>
      </w:tr>
      <w:tr w:rsidR="0042161B" w:rsidRPr="00EC0DEA" w14:paraId="720C1FA0" w14:textId="77777777" w:rsidTr="00B92884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E50265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1:</w:t>
            </w:r>
          </w:p>
          <w:p w14:paraId="73DCD1F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Austria, Belgia, Dania, Finlandia, Francja, Irlandia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Islandia, Liechtenstein, Luksemburg, Niderlandy, Niemcy,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Norwegia, Szwecja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Włochy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E20C" w14:textId="65CA7246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153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F266" w14:textId="2416F73E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107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42161B" w:rsidRPr="00EC0DEA" w14:paraId="726C8F43" w14:textId="77777777" w:rsidTr="00B92884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6261E9B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2:</w:t>
            </w:r>
          </w:p>
          <w:p w14:paraId="0F71064A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Cypr, Czechy, Estonia, Grecja, Hiszpania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Łotwa, Malta, Portugalia, Słowacja, Słowenia,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0086" w14:textId="392E4A70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135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0500" w14:textId="3D628C79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95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42161B" w:rsidRPr="00EC0DEA" w14:paraId="422674E2" w14:textId="77777777" w:rsidTr="00B92884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9C0FB5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3:</w:t>
            </w:r>
          </w:p>
          <w:p w14:paraId="0B783312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Bułgaria, Chorwacja, Litwa, Macedonia Północna, Polska, Rumunia, Serbia, Turcja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Węgry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FEED" w14:textId="7233B8BE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118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8538" w14:textId="09F98CF3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83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</w:tbl>
    <w:p w14:paraId="501EB908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p w14:paraId="2601A88E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p w14:paraId="4D8BB4BC" w14:textId="45AD5779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Stawka podstawowa jest stosowana do 14. dnia działania. Od 15. dnia działania stosowana stawka będzie odpowiadać 70 % stawki podstawowej Stosowane stawki będą zaokrąglane do najbliższej pełnej wartości euro.</w:t>
      </w:r>
      <w:r w:rsidRPr="00EC0DEA">
        <w:rPr>
          <w:rFonts w:ascii="Times New Roman" w:eastAsia="Calibri" w:hAnsi="Times New Roman" w:cs="Arial"/>
          <w:snapToGrid w:val="0"/>
          <w:kern w:val="0"/>
          <w14:ligatures w14:val="none"/>
        </w:rPr>
        <w:t xml:space="preserve"> 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Stawki </w:t>
      </w:r>
      <w:r w:rsidRPr="00EC0DEA">
        <w:rPr>
          <w:rFonts w:ascii="Times New Roman" w:eastAsia="Calibri" w:hAnsi="Times New Roman" w:cs="Arial"/>
          <w:snapToGrid w:val="0"/>
          <w:kern w:val="0"/>
          <w14:ligatures w14:val="none"/>
        </w:rPr>
        <w:t>dla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pracowników mają zastosowanie do osób towarzyszących.</w:t>
      </w:r>
    </w:p>
    <w:p w14:paraId="03A16831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226D5BF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Te same stawki i zasady mają zastosowanie do działań w zakresie mobilności z państwami trzecimi niestowarzyszonymi z programem. Państwa te dzielą się na następujące grupy:</w:t>
      </w:r>
    </w:p>
    <w:p w14:paraId="06E2F833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4959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67"/>
      </w:tblGrid>
      <w:tr w:rsidR="00EC0DEA" w:rsidRPr="00EC0DEA" w14:paraId="7A5A2AAD" w14:textId="77777777" w:rsidTr="00EC0DEA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C588103" w14:textId="5802D61A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1: </w:t>
            </w:r>
            <w:r w:rsidR="000A6DB6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Angola,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Arabia Saudyjska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BD5F5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Argentyna, Armenia,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Australia,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Azerbejdżan</w:t>
            </w:r>
            <w:r w:rsidR="009A356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Bahrajn</w:t>
            </w:r>
            <w:r w:rsidR="009A356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Gruzja,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Hongkong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Izrael,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Japonia, </w:t>
            </w:r>
            <w:r w:rsidR="000A6DB6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Kanada,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Korea Południowa, 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Kuwejt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Liban</w:t>
            </w:r>
            <w:r w:rsidR="00F846E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Malezja</w:t>
            </w:r>
            <w:r w:rsidR="00F846E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Meksyk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Mołdawia,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Saint Kitts i Nevis, Saint Vincent i Grenadyny,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Singapur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Stany Zjednoczone,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Sudan,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Szwajcaria, </w:t>
            </w:r>
            <w:r w:rsidR="0065215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Tajlandia,</w:t>
            </w:r>
            <w:r w:rsidR="0065215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Tajwan, Tanzania,</w:t>
            </w:r>
            <w:r w:rsidR="0065215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7174D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Wielka Brytania,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Wietnam,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Wyspy Owcze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Zjednoczone Emiraty Arabskie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EC0DEA" w:rsidRPr="00EC0DEA" w14:paraId="34E651A6" w14:textId="77777777" w:rsidTr="00EC0DEA">
        <w:trPr>
          <w:trHeight w:val="8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0241FD6" w14:textId="13270322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2: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Albania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Andora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Antigua i Barbuda,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Bahamy,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Bangladesz, Barbados,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Białoruś,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Bośnia i Hercegowina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Brazylia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Brunei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Chile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Chiny,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Czad</w:t>
            </w:r>
            <w:r w:rsidR="00744D0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Czarnogóra,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Dominika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DR Konga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Dżibuti,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Egipt,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Ekwador,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Etiopia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Filipiny,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Gabon</w:t>
            </w:r>
            <w:r w:rsidR="007D39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Ghana,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Grenada,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Gujana,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Haiti,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Indie,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Indonezja, Iran,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Jamajka, Jemen,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Jordania</w:t>
            </w:r>
            <w:r w:rsidR="003653F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Katar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Kazachstan,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Kenia,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Kirgistan,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Kiribati, Koreańska Republika Ludowo-Demokratyczna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Kostaryka,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Kuba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Laos,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Liberia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Libia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Malawi,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Maroko, Mauritius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Mikronezja, Monako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Mozambik</w:t>
            </w:r>
            <w:r w:rsidR="0075326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Nigeria,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Oman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Palestyna, Panama,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Papua-Nowa Gwinea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Paragwaj,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Peru,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Dominikańska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Południowej Afryki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Rosja, Rwanda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Saint Lucia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San Marino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Sierra Leone, Senegal, Seszele,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Syria,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Turkmenistan,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Uganda,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Ukraina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Urugwaj,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Uzbekistan,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Watykan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Wenezuela, Wybrzeże Kości Słoniowej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</w:p>
        </w:tc>
      </w:tr>
      <w:tr w:rsidR="00EC0DEA" w:rsidRPr="00EC0DEA" w14:paraId="11DA9591" w14:textId="77777777" w:rsidTr="00EC0DEA">
        <w:trPr>
          <w:trHeight w:val="8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2D71F5B" w14:textId="498FE460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3: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Afganistan,</w:t>
            </w:r>
            <w:r w:rsidR="00835A9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Algieria,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Belize,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Benin,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Bhutan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Birma,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Boliwia,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Botswana,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Burkina Faso</w:t>
            </w:r>
            <w:r w:rsidR="008323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Burundi,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Erytrea</w:t>
            </w:r>
            <w:r w:rsidR="008323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Eswatini,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Fidżi,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Gambia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Gwatemala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Gwinea,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Gwinea Bissau</w:t>
            </w:r>
            <w:r w:rsidR="00E32393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Gwinea Równikowa,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Honduras,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Irak,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Kambodża,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Kamerun,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Kolumbia,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Komory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Kongo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Kosowo,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Lesotho,</w:t>
            </w:r>
            <w:r w:rsidR="00E32393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Madagaskar,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Makau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Malediwy,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Mali,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Mauretania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655A00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Mongolia,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Namibia,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Nauru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Nepal,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Niger,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Niue</w:t>
            </w:r>
            <w:r w:rsidR="000E0A8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Nikaragua,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Nowa Zelandia</w:t>
            </w:r>
            <w:r w:rsidR="0054652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652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Pakistan</w:t>
            </w:r>
            <w:r w:rsidR="0054652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4652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Palau,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Republika Środkowoafrykańska,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Zielonego Przylądka,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Salwador, </w:t>
            </w:r>
            <w:r w:rsidR="00D6302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Samoa,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Somalia,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Sri Lanka,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Sudan Południowy</w:t>
            </w:r>
            <w:r w:rsidR="00D6302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Surinam</w:t>
            </w:r>
            <w:r w:rsidR="00D6302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Tadżykistan,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Timor Wschodni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Togo, Tonga</w:t>
            </w:r>
            <w:r w:rsidR="00655A00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Trynidad</w:t>
            </w:r>
            <w:proofErr w:type="spellEnd"/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 Tobago</w:t>
            </w:r>
            <w:r w:rsidR="00835A9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Tunezja,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Tuvalu, </w:t>
            </w:r>
            <w:r w:rsidR="00C64BD0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Vanuatu, </w:t>
            </w:r>
            <w:r w:rsidR="00D6302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Wyspy Cooka,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Wyspy Marshalla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Wyspy Salomona, Wyspy Świętego Tomasza i Książęca,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Zambia,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Zimbabwe</w:t>
            </w:r>
            <w:r w:rsidR="00C64BD0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</w:p>
        </w:tc>
      </w:tr>
    </w:tbl>
    <w:p w14:paraId="09A8954D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0389A2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367F0138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415E9184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3. Wsparcie organizacyjne</w:t>
      </w:r>
    </w:p>
    <w:p w14:paraId="64015C6D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0A22CAF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4960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814"/>
        <w:gridCol w:w="3461"/>
      </w:tblGrid>
      <w:tr w:rsidR="00EC0DEA" w:rsidRPr="00EC0DEA" w14:paraId="7F9211C7" w14:textId="77777777" w:rsidTr="00EC0DEA">
        <w:trPr>
          <w:trHeight w:val="16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6898E993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Rodzaj działania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45887D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Kwota na uczestnika </w:t>
            </w:r>
          </w:p>
        </w:tc>
      </w:tr>
      <w:tr w:rsidR="00EC0DEA" w:rsidRPr="00EC0DEA" w14:paraId="340ED6DE" w14:textId="77777777" w:rsidTr="00EC0DEA">
        <w:trPr>
          <w:trHeight w:val="1191"/>
        </w:trPr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C0EE7D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Grupowa mobilność osób uczących się w ramach kształcenia i szkolenia zawodowego</w:t>
            </w:r>
          </w:p>
          <w:p w14:paraId="0189FA2B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Udział w konkursach umiejętności zawodowych</w:t>
            </w:r>
          </w:p>
          <w:p w14:paraId="254F0569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Kursy i szkolenia</w:t>
            </w:r>
          </w:p>
          <w:p w14:paraId="638F530D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Zaproszeni eksperci</w:t>
            </w:r>
          </w:p>
          <w:p w14:paraId="0C721120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Przyjmowanie szkolących się nauczycieli i edukatorów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A9EE" w14:textId="77777777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100 EUR</w:t>
            </w:r>
          </w:p>
        </w:tc>
      </w:tr>
      <w:tr w:rsidR="00EC0DEA" w:rsidRPr="00EC0DEA" w14:paraId="29E6BAC5" w14:textId="77777777" w:rsidTr="00EC0DEA">
        <w:trPr>
          <w:trHeight w:val="23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855E076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Krótkoterminowa mobilność edukacyjna osób uczących się w ramach kształcenia i szkolenia zawodowego</w:t>
            </w:r>
          </w:p>
          <w:p w14:paraId="5190D23A" w14:textId="0EF1FA15" w:rsidR="00EC0DEA" w:rsidRPr="002A1AE0" w:rsidRDefault="002A1AE0" w:rsidP="00AE63EF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Mobilność kadry w zakresie obserwacji pracy (tzw. </w:t>
            </w:r>
            <w:proofErr w:type="spellStart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job</w:t>
            </w:r>
            <w:proofErr w:type="spellEnd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shadowing</w:t>
            </w:r>
            <w:proofErr w:type="spellEnd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3BDDE039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Wyjazdy w celu nauczania lub szkoleniowe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CCCA" w14:textId="67789879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350 EUR</w:t>
            </w:r>
          </w:p>
          <w:p w14:paraId="0F90324F" w14:textId="0AD463D4" w:rsidR="00EC0DEA" w:rsidRPr="00EC0DEA" w:rsidRDefault="002A1AE0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[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200 EUR po przekroczeniu liczby stu uczestników tego samego rodzaju działań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]</w:t>
            </w:r>
          </w:p>
        </w:tc>
      </w:tr>
      <w:tr w:rsidR="00EC0DEA" w:rsidRPr="00EC0DEA" w14:paraId="23C47A53" w14:textId="77777777" w:rsidTr="00EC0DEA">
        <w:trPr>
          <w:trHeight w:val="23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397E8A4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Długotrwała mobilność edukacyjna osób uczących się w ramach kształcenia i szkolenia zawodowego (</w:t>
            </w:r>
            <w:proofErr w:type="spellStart"/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ErasmusPro</w:t>
            </w:r>
            <w:proofErr w:type="spellEnd"/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)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A396" w14:textId="77777777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500 EUR</w:t>
            </w:r>
          </w:p>
        </w:tc>
      </w:tr>
    </w:tbl>
    <w:p w14:paraId="43958AE8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AFECE6E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Osoby towarzyszące nie są uznawane za uczestników działań w zakresie mobilności edukacyjnej i nie są brane pod uwagę przy obliczaniu wsparcia organizacyjnego.</w:t>
      </w:r>
    </w:p>
    <w:p w14:paraId="7C423E3B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B576082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21E34F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4. Opłata za udział w kursie</w:t>
      </w:r>
    </w:p>
    <w:p w14:paraId="1BE3CA72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CDA268C" w14:textId="0AE44992" w:rsidR="003D337B" w:rsidRPr="003D337B" w:rsidRDefault="003D337B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80 EUR</w:t>
      </w:r>
      <w:r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na dzień; pojedynczy członek kadry może otrzymać maksymalnie </w:t>
      </w: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800 EUR</w:t>
      </w:r>
      <w:r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opłaty za udział w kursach.</w:t>
      </w:r>
    </w:p>
    <w:p w14:paraId="2805860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6F2903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5. Wsparcie włączenia dla organizacji</w:t>
      </w:r>
    </w:p>
    <w:p w14:paraId="5294064B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3C24397" w14:textId="72E70BCD" w:rsidR="003D337B" w:rsidRPr="003D337B" w:rsidRDefault="00EC0DEA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125</w:t>
      </w:r>
      <w:r w:rsidR="003D337B"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3D337B"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na pokrycie kosztów związanych z organizacją działań w zakresie mobilności dla uczestników o mniejszych szansach.</w:t>
      </w:r>
    </w:p>
    <w:p w14:paraId="1EA7B14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247C356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6. Wizyty przygotowawcze</w:t>
      </w:r>
    </w:p>
    <w:p w14:paraId="361D80F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4E9BC48" w14:textId="74445798" w:rsidR="003D337B" w:rsidRPr="003D337B" w:rsidRDefault="00EC0DEA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68</w:t>
      </w:r>
      <w:r w:rsidR="0032624B">
        <w:rPr>
          <w:rFonts w:ascii="Times New Roman" w:eastAsia="Calibri" w:hAnsi="Times New Roman" w:cs="Times New Roman"/>
          <w:b/>
          <w:kern w:val="0"/>
          <w14:ligatures w14:val="none"/>
        </w:rPr>
        <w:t>0</w:t>
      </w: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3D337B" w:rsidRPr="003D337B">
        <w:rPr>
          <w:rFonts w:ascii="Times New Roman" w:eastAsia="Calibri" w:hAnsi="Times New Roman" w:cs="Times New Roman"/>
          <w:b/>
          <w:kern w:val="0"/>
          <w14:ligatures w14:val="none"/>
        </w:rPr>
        <w:t>EUR</w:t>
      </w:r>
      <w:r w:rsidR="003D337B"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</w:t>
      </w:r>
    </w:p>
    <w:p w14:paraId="35E8D83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0BCA44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7. Wsparcie językowe</w:t>
      </w:r>
    </w:p>
    <w:p w14:paraId="1FF81FC0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4DED4B4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b/>
          <w:kern w:val="0"/>
          <w14:ligatures w14:val="none"/>
        </w:rPr>
        <w:t>150 EUR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na uczestnika następujących działań: obserwacji pracy, zleceń w zakresie nauczania i szkolenia, krótkoterminowej mobilności edukacyjnej osób uczących się w ramach kształcenia i szkolenia zawodowego oraz długoterminowej mobilności edukacyjnej osób uczących się w ramach kształcenia i szkolenia zawodowego (</w:t>
      </w:r>
      <w:proofErr w:type="spellStart"/>
      <w:r w:rsidRPr="00EC0DEA">
        <w:rPr>
          <w:rFonts w:ascii="Times New Roman" w:eastAsia="Calibri" w:hAnsi="Times New Roman" w:cs="Arial"/>
          <w:kern w:val="0"/>
          <w14:ligatures w14:val="none"/>
        </w:rPr>
        <w:t>ErasmusPro</w:t>
      </w:r>
      <w:proofErr w:type="spellEnd"/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) wówczas, gdy uczestnik nie może otrzymać wsparcia językowego online ze względu na niedostępność odpowiedniego języka lub poziomu nauczania lub ze względu na szczególne bariery, z którymi mierzą się uczestnicy o mniejszych szansach. </w:t>
      </w:r>
    </w:p>
    <w:p w14:paraId="1392BFC8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FD40C95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Ponadto: </w:t>
      </w:r>
      <w:r w:rsidRPr="00EC0DEA">
        <w:rPr>
          <w:rFonts w:ascii="Times New Roman" w:eastAsia="Calibri" w:hAnsi="Times New Roman" w:cs="Arial"/>
          <w:b/>
          <w:kern w:val="0"/>
          <w14:ligatures w14:val="none"/>
        </w:rPr>
        <w:t>150 EUR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na uczestnika długoterminowej mobilności edukacyjnej osób uczących się w ramach kształcenia i szkolenia zawodowego (</w:t>
      </w:r>
      <w:proofErr w:type="spellStart"/>
      <w:r w:rsidRPr="00EC0DEA">
        <w:rPr>
          <w:rFonts w:ascii="Times New Roman" w:eastAsia="Calibri" w:hAnsi="Times New Roman" w:cs="Arial"/>
          <w:kern w:val="0"/>
          <w14:ligatures w14:val="none"/>
        </w:rPr>
        <w:t>ErasmusPro</w:t>
      </w:r>
      <w:proofErr w:type="spellEnd"/>
      <w:r w:rsidRPr="00EC0DEA">
        <w:rPr>
          <w:rFonts w:ascii="Times New Roman" w:eastAsia="Calibri" w:hAnsi="Times New Roman" w:cs="Arial"/>
          <w:kern w:val="0"/>
          <w14:ligatures w14:val="none"/>
        </w:rPr>
        <w:t>).</w:t>
      </w:r>
    </w:p>
    <w:p w14:paraId="3B35CAA4" w14:textId="77777777" w:rsidR="00A05DE9" w:rsidRDefault="00A05DE9"/>
    <w:sectPr w:rsidR="00A05DE9" w:rsidSect="003D3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00F8" w14:textId="77777777" w:rsidR="004D0CCE" w:rsidRDefault="004D0CCE">
      <w:pPr>
        <w:spacing w:after="0" w:line="240" w:lineRule="auto"/>
      </w:pPr>
      <w:r>
        <w:separator/>
      </w:r>
    </w:p>
  </w:endnote>
  <w:endnote w:type="continuationSeparator" w:id="0">
    <w:p w14:paraId="22A68667" w14:textId="77777777" w:rsidR="004D0CCE" w:rsidRDefault="004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A2AC" w14:textId="77777777" w:rsidR="00EC0DEA" w:rsidRDefault="00EC0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852C" w14:textId="77777777" w:rsidR="00EC0DEA" w:rsidRPr="003D337B" w:rsidRDefault="00EC0DEA">
    <w:pPr>
      <w:pStyle w:val="Stopka"/>
      <w:rPr>
        <w:rFonts w:ascii="Calibri Light" w:eastAsia="Times New Roman" w:hAnsi="Calibri Light" w:cs="Times New Roman"/>
        <w:color w:val="5B9BD5"/>
        <w:sz w:val="20"/>
        <w:szCs w:val="20"/>
      </w:rPr>
    </w:pPr>
    <w:r w:rsidRPr="003D337B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5631D" wp14:editId="17484B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C84A20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3D337B">
      <w:rPr>
        <w:color w:val="5B9BD5"/>
      </w:rPr>
      <w:t xml:space="preserve"> </w:t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t xml:space="preserve">str. </w:t>
    </w:r>
    <w:r w:rsidRPr="003D337B">
      <w:rPr>
        <w:rFonts w:eastAsia="Times New Roman"/>
        <w:color w:val="808080"/>
        <w:sz w:val="20"/>
        <w:szCs w:val="20"/>
      </w:rPr>
      <w:fldChar w:fldCharType="begin"/>
    </w:r>
    <w:r w:rsidRPr="003D337B">
      <w:rPr>
        <w:color w:val="808080"/>
        <w:sz w:val="20"/>
        <w:szCs w:val="20"/>
      </w:rPr>
      <w:instrText>PAGE    \* MERGEFORMAT</w:instrText>
    </w:r>
    <w:r w:rsidRPr="003D337B">
      <w:rPr>
        <w:rFonts w:eastAsia="Times New Roman"/>
        <w:color w:val="808080"/>
        <w:sz w:val="20"/>
        <w:szCs w:val="20"/>
      </w:rPr>
      <w:fldChar w:fldCharType="separate"/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t>2</w:t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fldChar w:fldCharType="end"/>
    </w:r>
  </w:p>
  <w:p w14:paraId="00CBB1D2" w14:textId="77777777" w:rsidR="00EC0DEA" w:rsidRPr="003D337B" w:rsidRDefault="00EC0DEA" w:rsidP="00150542">
    <w:pPr>
      <w:tabs>
        <w:tab w:val="center" w:pos="4536"/>
        <w:tab w:val="right" w:pos="9072"/>
      </w:tabs>
      <w:rPr>
        <w:rFonts w:cs="Times New Roman"/>
        <w:color w:val="808080"/>
        <w:sz w:val="20"/>
        <w:szCs w:val="20"/>
      </w:rPr>
    </w:pPr>
    <w:r w:rsidRPr="003D337B">
      <w:rPr>
        <w:rFonts w:cs="Times New Roman"/>
        <w:color w:val="808080"/>
        <w:sz w:val="20"/>
        <w:szCs w:val="20"/>
      </w:rPr>
      <w:t xml:space="preserve">Kształcenie i Szkolenia Zawodowe (VET) – Erasmus+ Mobilność edukacyjna (KA1) </w:t>
    </w:r>
  </w:p>
  <w:p w14:paraId="217167AF" w14:textId="77777777" w:rsidR="00EC0DEA" w:rsidRPr="003D337B" w:rsidRDefault="00EC0DEA" w:rsidP="00150542">
    <w:pPr>
      <w:tabs>
        <w:tab w:val="center" w:pos="4536"/>
        <w:tab w:val="right" w:pos="9072"/>
      </w:tabs>
      <w:rPr>
        <w:color w:val="808080"/>
        <w:sz w:val="24"/>
      </w:rPr>
    </w:pPr>
    <w:r w:rsidRPr="003D337B">
      <w:rPr>
        <w:rFonts w:cs="Times New Roman"/>
        <w:color w:val="80808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70CD" w14:textId="77777777" w:rsidR="00EC0DEA" w:rsidRDefault="00EC0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03CE" w14:textId="77777777" w:rsidR="004D0CCE" w:rsidRDefault="004D0CCE">
      <w:pPr>
        <w:spacing w:after="0" w:line="240" w:lineRule="auto"/>
      </w:pPr>
      <w:r>
        <w:separator/>
      </w:r>
    </w:p>
  </w:footnote>
  <w:footnote w:type="continuationSeparator" w:id="0">
    <w:p w14:paraId="04DE9754" w14:textId="77777777" w:rsidR="004D0CCE" w:rsidRDefault="004D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B97B" w14:textId="77777777" w:rsidR="00EC0DEA" w:rsidRDefault="00EC0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8EA1" w14:textId="77777777" w:rsidR="00EC0DEA" w:rsidRDefault="00EC0D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CF33" w14:textId="77777777" w:rsidR="00EC0DEA" w:rsidRDefault="00EC0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E09ED"/>
    <w:multiLevelType w:val="hybridMultilevel"/>
    <w:tmpl w:val="F7C0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14047">
    <w:abstractNumId w:val="0"/>
  </w:num>
  <w:num w:numId="2" w16cid:durableId="1631520990">
    <w:abstractNumId w:val="3"/>
  </w:num>
  <w:num w:numId="3" w16cid:durableId="579026789">
    <w:abstractNumId w:val="2"/>
  </w:num>
  <w:num w:numId="4" w16cid:durableId="211648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B"/>
    <w:rsid w:val="00087787"/>
    <w:rsid w:val="000A6DB6"/>
    <w:rsid w:val="000D733C"/>
    <w:rsid w:val="000E0A82"/>
    <w:rsid w:val="00101B3C"/>
    <w:rsid w:val="00276D0D"/>
    <w:rsid w:val="002A1AE0"/>
    <w:rsid w:val="002E6521"/>
    <w:rsid w:val="0032624B"/>
    <w:rsid w:val="003653F7"/>
    <w:rsid w:val="003C5E32"/>
    <w:rsid w:val="003D337B"/>
    <w:rsid w:val="0042161B"/>
    <w:rsid w:val="004C4847"/>
    <w:rsid w:val="004D0CCE"/>
    <w:rsid w:val="005407BD"/>
    <w:rsid w:val="00546524"/>
    <w:rsid w:val="00563784"/>
    <w:rsid w:val="00652154"/>
    <w:rsid w:val="00655A00"/>
    <w:rsid w:val="007174D7"/>
    <w:rsid w:val="00744D0F"/>
    <w:rsid w:val="00753264"/>
    <w:rsid w:val="007C3248"/>
    <w:rsid w:val="007D39B9"/>
    <w:rsid w:val="00832348"/>
    <w:rsid w:val="008335F4"/>
    <w:rsid w:val="00835A92"/>
    <w:rsid w:val="008B6632"/>
    <w:rsid w:val="009A356A"/>
    <w:rsid w:val="00A05DE9"/>
    <w:rsid w:val="00A20224"/>
    <w:rsid w:val="00A226DD"/>
    <w:rsid w:val="00A569D5"/>
    <w:rsid w:val="00AC01EA"/>
    <w:rsid w:val="00AE63EF"/>
    <w:rsid w:val="00BD5F5C"/>
    <w:rsid w:val="00BD6A49"/>
    <w:rsid w:val="00C55880"/>
    <w:rsid w:val="00C64BD0"/>
    <w:rsid w:val="00C90F68"/>
    <w:rsid w:val="00CA2C17"/>
    <w:rsid w:val="00D01D02"/>
    <w:rsid w:val="00D42EAF"/>
    <w:rsid w:val="00D63028"/>
    <w:rsid w:val="00DE6D9F"/>
    <w:rsid w:val="00E32393"/>
    <w:rsid w:val="00EC0DEA"/>
    <w:rsid w:val="00ED01EF"/>
    <w:rsid w:val="00F846E1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8EA"/>
  <w15:chartTrackingRefBased/>
  <w15:docId w15:val="{D2222B68-F9FD-41E2-96D4-8A40CB1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61B"/>
  </w:style>
  <w:style w:type="paragraph" w:styleId="Nagwek1">
    <w:name w:val="heading 1"/>
    <w:basedOn w:val="Normalny"/>
    <w:next w:val="Normalny"/>
    <w:link w:val="Nagwek1Znak"/>
    <w:uiPriority w:val="9"/>
    <w:qFormat/>
    <w:rsid w:val="003D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3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D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37B"/>
  </w:style>
  <w:style w:type="paragraph" w:styleId="Stopka">
    <w:name w:val="footer"/>
    <w:basedOn w:val="Normalny"/>
    <w:link w:val="StopkaZnak"/>
    <w:uiPriority w:val="99"/>
    <w:semiHidden/>
    <w:unhideWhenUsed/>
    <w:rsid w:val="003D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337B"/>
  </w:style>
  <w:style w:type="paragraph" w:styleId="Poprawka">
    <w:name w:val="Revision"/>
    <w:hidden/>
    <w:uiPriority w:val="99"/>
    <w:semiHidden/>
    <w:rsid w:val="00EC0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5183</Characters>
  <Application>Microsoft Office Word</Application>
  <DocSecurity>0</DocSecurity>
  <Lines>43</Lines>
  <Paragraphs>12</Paragraphs>
  <ScaleCrop>false</ScaleCrop>
  <Company>Fundacja Rozwoju Systemu Edukacji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4</cp:revision>
  <dcterms:created xsi:type="dcterms:W3CDTF">2024-07-01T08:29:00Z</dcterms:created>
  <dcterms:modified xsi:type="dcterms:W3CDTF">2024-07-01T08:48:00Z</dcterms:modified>
</cp:coreProperties>
</file>